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</w:t>
      </w:r>
      <w:r w:rsidR="003735C6">
        <w:rPr>
          <w:bCs/>
          <w:noProof w:val="0"/>
          <w:sz w:val="24"/>
          <w:lang w:val="en-GB"/>
        </w:rPr>
        <w:t>7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3735C6"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</w:t>
      </w:r>
      <w:r w:rsidR="000F4E44" w:rsidRPr="00CA26CE">
        <w:rPr>
          <w:bCs/>
          <w:noProof w:val="0"/>
          <w:sz w:val="24"/>
          <w:lang w:val="en-GB"/>
        </w:rPr>
        <w:t>16</w:t>
      </w:r>
      <w:r w:rsidR="00277743">
        <w:rPr>
          <w:bCs/>
          <w:noProof w:val="0"/>
          <w:sz w:val="24"/>
          <w:lang w:val="en-GB"/>
        </w:rPr>
        <w:t>12261</w:t>
      </w:r>
    </w:p>
    <w:p w:rsidR="00AA65C9" w:rsidRDefault="003735C6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Reno</w:t>
      </w:r>
      <w:r w:rsidR="00CA26CE"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USA</w:t>
      </w:r>
      <w:r w:rsidR="00CA26CE"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November</w:t>
      </w:r>
      <w:r w:rsidR="00CA26CE" w:rsidRPr="00CA26CE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14-18</w:t>
      </w:r>
      <w:r w:rsidR="00CA26CE" w:rsidRPr="00CA26CE">
        <w:rPr>
          <w:bCs/>
          <w:noProof w:val="0"/>
          <w:sz w:val="24"/>
          <w:lang w:val="en-GB"/>
        </w:rPr>
        <w:t>, 2016</w:t>
      </w:r>
    </w:p>
    <w:p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EE281A">
        <w:rPr>
          <w:rFonts w:cs="Arial"/>
          <w:b/>
          <w:bCs/>
          <w:sz w:val="24"/>
        </w:rPr>
        <w:t>7.1.1</w:t>
      </w:r>
    </w:p>
    <w:p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95710">
        <w:rPr>
          <w:rFonts w:ascii="Arial" w:hAnsi="Arial" w:cs="Arial"/>
          <w:b/>
          <w:bCs/>
          <w:sz w:val="24"/>
        </w:rPr>
        <w:t>On the n</w:t>
      </w:r>
      <w:r w:rsidR="00530FB4">
        <w:rPr>
          <w:rFonts w:ascii="Arial" w:hAnsi="Arial" w:cs="Arial"/>
          <w:b/>
          <w:bCs/>
          <w:sz w:val="24"/>
        </w:rPr>
        <w:t>umber of symbols in a slot</w:t>
      </w:r>
      <w:r w:rsidR="008539CE">
        <w:rPr>
          <w:rFonts w:ascii="Arial" w:hAnsi="Arial" w:cs="Arial"/>
          <w:b/>
          <w:bCs/>
          <w:sz w:val="24"/>
        </w:rPr>
        <w:t xml:space="preserve"> and minimum transmission duration</w:t>
      </w:r>
    </w:p>
    <w:p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:rsidR="00CC300C" w:rsidRDefault="00530FB4" w:rsidP="002E758C">
      <w:pPr>
        <w:spacing w:after="120"/>
        <w:jc w:val="both"/>
        <w:rPr>
          <w:rFonts w:eastAsia="Malgun Gothic"/>
        </w:rPr>
      </w:pPr>
      <w:r>
        <w:rPr>
          <w:bCs/>
        </w:rPr>
        <w:t>This contribution relates to the number of symbols in a slot</w:t>
      </w:r>
      <w:r w:rsidR="00A051D9">
        <w:rPr>
          <w:bCs/>
        </w:rPr>
        <w:t xml:space="preserve"> in</w:t>
      </w:r>
      <w:r w:rsidR="000B0C45">
        <w:rPr>
          <w:bCs/>
        </w:rPr>
        <w:t xml:space="preserve"> NR</w:t>
      </w:r>
      <w:r>
        <w:rPr>
          <w:bCs/>
        </w:rPr>
        <w:t xml:space="preserve"> and continues the discussion of RAN1#86bis, where </w:t>
      </w:r>
      <w:r w:rsidR="00CC300C">
        <w:rPr>
          <w:rFonts w:eastAsia="Malgun Gothic"/>
        </w:rPr>
        <w:t>the following agreements</w:t>
      </w:r>
      <w:r w:rsidR="000B0C45">
        <w:rPr>
          <w:rFonts w:eastAsia="Malgun Gothic"/>
        </w:rPr>
        <w:t xml:space="preserve"> </w:t>
      </w:r>
      <w:r w:rsidR="00E1660B">
        <w:rPr>
          <w:rFonts w:eastAsia="Malgun Gothic"/>
        </w:rPr>
        <w:t xml:space="preserve">were made </w:t>
      </w:r>
      <w:r w:rsidR="00342AD2">
        <w:rPr>
          <w:bCs/>
        </w:rPr>
        <w:t>[3]</w:t>
      </w:r>
      <w:r w:rsidR="00CC300C">
        <w:rPr>
          <w:rFonts w:eastAsia="Malgun Gothic"/>
        </w:rPr>
        <w:t>:</w:t>
      </w:r>
    </w:p>
    <w:p w:rsidR="00530FB4" w:rsidRPr="00530FB4" w:rsidRDefault="00530FB4" w:rsidP="009416F7">
      <w:pPr>
        <w:pStyle w:val="ListParagraph"/>
        <w:numPr>
          <w:ilvl w:val="0"/>
          <w:numId w:val="3"/>
        </w:numPr>
        <w:spacing w:after="120"/>
        <w:jc w:val="both"/>
        <w:rPr>
          <w:rFonts w:eastAsia="Malgun Gothic"/>
          <w:sz w:val="20"/>
          <w:szCs w:val="20"/>
          <w:lang w:val="en-US"/>
        </w:rPr>
      </w:pPr>
      <w:r w:rsidRPr="00530FB4">
        <w:rPr>
          <w:rFonts w:eastAsia="Malgun Gothic"/>
          <w:sz w:val="20"/>
          <w:szCs w:val="20"/>
          <w:lang w:val="en-US"/>
        </w:rPr>
        <w:t>In the numerology agenda item the following was agreed:</w:t>
      </w:r>
    </w:p>
    <w:p w:rsidR="00530FB4" w:rsidRPr="007E3B61" w:rsidRDefault="00530FB4" w:rsidP="00530FB4">
      <w:pPr>
        <w:ind w:left="720"/>
        <w:rPr>
          <w:rFonts w:eastAsia="MS Mincho"/>
          <w:b/>
          <w:u w:val="single"/>
          <w:lang w:val="en-US" w:eastAsia="ja-JP"/>
        </w:rPr>
      </w:pPr>
      <w:r w:rsidRPr="000250F0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530FB4" w:rsidRPr="007E3B61" w:rsidRDefault="00530FB4" w:rsidP="009416F7">
      <w:pPr>
        <w:numPr>
          <w:ilvl w:val="0"/>
          <w:numId w:val="2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val="en-US" w:eastAsia="ja-JP"/>
        </w:rPr>
      </w:pPr>
      <w:r w:rsidRPr="007E3B61">
        <w:rPr>
          <w:rFonts w:eastAsia="MS Mincho" w:hint="eastAsia"/>
          <w:lang w:val="en-US" w:eastAsia="ja-JP"/>
        </w:rPr>
        <w:t>For SCS of up to 60kHz with NCP, y = 7 and 14</w:t>
      </w:r>
    </w:p>
    <w:p w:rsidR="00530FB4" w:rsidRPr="007E3B61" w:rsidRDefault="00530FB4" w:rsidP="009416F7">
      <w:pPr>
        <w:numPr>
          <w:ilvl w:val="1"/>
          <w:numId w:val="2"/>
        </w:numPr>
        <w:tabs>
          <w:tab w:val="clear" w:pos="1440"/>
          <w:tab w:val="num" w:pos="216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MS Mincho"/>
          <w:lang w:val="en-US" w:eastAsia="ja-JP"/>
        </w:rPr>
      </w:pPr>
      <w:r w:rsidRPr="007E3B61">
        <w:rPr>
          <w:rFonts w:eastAsia="MS Mincho" w:hint="eastAsia"/>
          <w:lang w:val="en-US" w:eastAsia="ja-JP"/>
        </w:rPr>
        <w:t>FFS: whether/which to down select for certain SCS(s)</w:t>
      </w:r>
    </w:p>
    <w:p w:rsidR="00530FB4" w:rsidRPr="007E3B61" w:rsidRDefault="00530FB4" w:rsidP="009416F7">
      <w:pPr>
        <w:numPr>
          <w:ilvl w:val="0"/>
          <w:numId w:val="2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val="en-US" w:eastAsia="ja-JP"/>
        </w:rPr>
      </w:pPr>
      <w:r w:rsidRPr="007E3B61">
        <w:rPr>
          <w:rFonts w:eastAsia="MS Mincho" w:hint="eastAsia"/>
          <w:lang w:val="en-US" w:eastAsia="ja-JP"/>
        </w:rPr>
        <w:t>For SCS of higher than 60kHz with NCP, y = 14</w:t>
      </w:r>
    </w:p>
    <w:p w:rsidR="00530FB4" w:rsidRPr="00530FB4" w:rsidRDefault="00530FB4" w:rsidP="002E758C">
      <w:pPr>
        <w:spacing w:after="120"/>
        <w:jc w:val="both"/>
        <w:rPr>
          <w:bCs/>
          <w:lang w:val="en-US"/>
        </w:rPr>
      </w:pPr>
    </w:p>
    <w:p w:rsidR="00530FB4" w:rsidRPr="00530FB4" w:rsidRDefault="00530FB4" w:rsidP="009416F7">
      <w:pPr>
        <w:pStyle w:val="ListParagraph"/>
        <w:numPr>
          <w:ilvl w:val="0"/>
          <w:numId w:val="3"/>
        </w:numPr>
        <w:spacing w:after="120"/>
        <w:jc w:val="both"/>
        <w:rPr>
          <w:rFonts w:eastAsia="Malgun Gothic"/>
          <w:sz w:val="20"/>
          <w:szCs w:val="20"/>
          <w:lang w:val="en-US"/>
        </w:rPr>
      </w:pPr>
      <w:r w:rsidRPr="00530FB4">
        <w:rPr>
          <w:rFonts w:eastAsia="Malgun Gothic"/>
          <w:sz w:val="20"/>
          <w:szCs w:val="20"/>
          <w:lang w:val="en-US"/>
        </w:rPr>
        <w:t xml:space="preserve">In the </w:t>
      </w:r>
      <w:r>
        <w:rPr>
          <w:rFonts w:eastAsia="Malgun Gothic"/>
          <w:sz w:val="20"/>
          <w:szCs w:val="20"/>
          <w:lang w:val="en-US"/>
        </w:rPr>
        <w:t>frame structure agenda item the following was agreed:</w:t>
      </w:r>
    </w:p>
    <w:p w:rsidR="00E1660B" w:rsidRPr="00DD162C" w:rsidRDefault="00E1660B" w:rsidP="00E1660B">
      <w:pPr>
        <w:ind w:left="709"/>
        <w:rPr>
          <w:rFonts w:eastAsia="MS Mincho"/>
          <w:b/>
          <w:u w:val="single"/>
          <w:lang w:val="en-US" w:eastAsia="ja-JP"/>
        </w:rPr>
      </w:pPr>
      <w:r w:rsidRPr="00D35A7B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E1660B" w:rsidRPr="00E20FF6" w:rsidRDefault="00E1660B" w:rsidP="009416F7">
      <w:pPr>
        <w:numPr>
          <w:ilvl w:val="0"/>
          <w:numId w:val="4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0"/>
        <w:ind w:left="1418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S</w:t>
      </w:r>
      <w:r w:rsidRPr="00467096">
        <w:rPr>
          <w:rFonts w:eastAsia="MS Mincho"/>
          <w:lang w:val="en-US" w:eastAsia="ja-JP"/>
        </w:rPr>
        <w:t>lot aggregation</w:t>
      </w:r>
      <w:r>
        <w:rPr>
          <w:rFonts w:eastAsia="MS Mincho"/>
          <w:lang w:val="en-US" w:eastAsia="ja-JP"/>
        </w:rPr>
        <w:t xml:space="preserve"> is </w:t>
      </w:r>
      <w:r>
        <w:rPr>
          <w:rFonts w:eastAsia="MS Mincho" w:hint="eastAsia"/>
          <w:lang w:val="en-US" w:eastAsia="ja-JP"/>
        </w:rPr>
        <w:t>supported</w:t>
      </w:r>
    </w:p>
    <w:p w:rsidR="00E1660B" w:rsidRPr="009115CC" w:rsidRDefault="00E1660B" w:rsidP="009115CC">
      <w:pPr>
        <w:numPr>
          <w:ilvl w:val="0"/>
          <w:numId w:val="4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0"/>
        <w:ind w:left="1418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Data transmission can be scheduled to </w:t>
      </w:r>
      <w:r>
        <w:rPr>
          <w:rFonts w:eastAsia="MS Mincho"/>
          <w:lang w:val="en-US" w:eastAsia="ja-JP"/>
        </w:rPr>
        <w:t>span</w:t>
      </w:r>
      <w:r>
        <w:rPr>
          <w:rFonts w:eastAsia="MS Mincho" w:hint="eastAsia"/>
          <w:lang w:val="en-US" w:eastAsia="ja-JP"/>
        </w:rPr>
        <w:t xml:space="preserve"> one or multiple slots</w:t>
      </w:r>
    </w:p>
    <w:p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E1660B">
        <w:t>Discussion</w:t>
      </w:r>
    </w:p>
    <w:p w:rsidR="00F95710" w:rsidRDefault="00F70841" w:rsidP="00D45818">
      <w:pPr>
        <w:pStyle w:val="Heading2"/>
        <w:ind w:left="0" w:firstLine="0"/>
        <w:rPr>
          <w:rFonts w:ascii="Times New Roman" w:eastAsia="MS Mincho" w:hAnsi="Times New Roman"/>
          <w:sz w:val="20"/>
          <w:lang w:val="en-US" w:eastAsia="ja-JP"/>
        </w:rPr>
      </w:pPr>
      <w:r>
        <w:rPr>
          <w:rFonts w:ascii="Times New Roman" w:eastAsia="MS Mincho" w:hAnsi="Times New Roman"/>
          <w:sz w:val="20"/>
          <w:lang w:val="en-US" w:eastAsia="ja-JP"/>
        </w:rPr>
        <w:t>The general assumption behind two slot durations, 7 and 14 symbols, for sub carrier spacings of 60 kHz and below, was that either both options would be possible</w:t>
      </w:r>
      <w:r w:rsidR="00D45818">
        <w:rPr>
          <w:rFonts w:ascii="Times New Roman" w:eastAsia="MS Mincho" w:hAnsi="Times New Roman"/>
          <w:sz w:val="20"/>
          <w:lang w:val="en-US" w:eastAsia="ja-JP"/>
        </w:rPr>
        <w:t xml:space="preserve"> based on e.g. network configuration, or one or the other could be applicable for a given sub-carrier spacing. The subsequent agreement on support of slot aggregation makes the need for configurable slot duration redundant, when a longer transmission duration, a ‘TTI’, can be obtained by aggregating several slots together.</w:t>
      </w:r>
    </w:p>
    <w:p w:rsidR="008539CE" w:rsidRPr="00D45818" w:rsidRDefault="00D45818" w:rsidP="00D45818">
      <w:pPr>
        <w:rPr>
          <w:lang w:val="en-US" w:eastAsia="ja-JP"/>
        </w:rPr>
      </w:pPr>
      <w:r>
        <w:rPr>
          <w:lang w:val="en-US" w:eastAsia="ja-JP"/>
        </w:rPr>
        <w:t>The agreement for having 14-symbol slot (assuming NCP) with SCS of above 60 kHz would mean a slot duration of 0.125 ms with 120 kHz SCS. This could be seen as the shortest natural ‘TTI’ duration leading to a maximum of 8 kHz UL/DL switching rate. For sub-carrier spacings higher than 120 kHz, a minimum slot aggregation leading to 0.125 ms ‘TTI’ should be applied. In table 1, the shortest possible ‘TTI’ durations are shown in green for a set of possible sub-carrier spacings.</w:t>
      </w:r>
    </w:p>
    <w:p w:rsidR="00D45818" w:rsidRPr="00D45818" w:rsidRDefault="00D45818" w:rsidP="00D45818">
      <w:pPr>
        <w:pStyle w:val="Caption"/>
        <w:keepNext/>
        <w:rPr>
          <w:lang w:val="en-US"/>
        </w:rPr>
      </w:pPr>
      <w:r>
        <w:t xml:space="preserve">Table </w:t>
      </w:r>
      <w:r w:rsidR="00DE6087">
        <w:fldChar w:fldCharType="begin"/>
      </w:r>
      <w:r w:rsidR="00DE6087">
        <w:instrText xml:space="preserve"> SEQ Table \* ARABIC </w:instrText>
      </w:r>
      <w:r w:rsidR="00DE6087">
        <w:fldChar w:fldCharType="separate"/>
      </w:r>
      <w:r>
        <w:rPr>
          <w:noProof/>
        </w:rPr>
        <w:t>1</w:t>
      </w:r>
      <w:r w:rsidR="00DE6087">
        <w:rPr>
          <w:noProof/>
        </w:rPr>
        <w:fldChar w:fldCharType="end"/>
      </w:r>
      <w:r w:rsidRPr="00D45818">
        <w:rPr>
          <w:lang w:val="en-US"/>
        </w:rPr>
        <w:t>:</w:t>
      </w:r>
      <w:r>
        <w:rPr>
          <w:lang w:val="en-US"/>
        </w:rPr>
        <w:t xml:space="preserve"> Slot and 'TTI' durations with</w:t>
      </w:r>
      <w:r w:rsidRPr="00D45818">
        <w:rPr>
          <w:lang w:val="en-US"/>
        </w:rPr>
        <w:t xml:space="preserve"> different sub-carrier</w:t>
      </w:r>
      <w:r>
        <w:rPr>
          <w:noProof/>
        </w:rPr>
        <w:t xml:space="preserve"> </w:t>
      </w:r>
      <w:r w:rsidRPr="00D45818">
        <w:rPr>
          <w:noProof/>
          <w:lang w:val="en-US"/>
        </w:rPr>
        <w:t>spacings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709"/>
        <w:gridCol w:w="727"/>
        <w:gridCol w:w="727"/>
        <w:gridCol w:w="727"/>
        <w:gridCol w:w="772"/>
        <w:gridCol w:w="872"/>
        <w:gridCol w:w="872"/>
        <w:gridCol w:w="872"/>
        <w:gridCol w:w="1072"/>
      </w:tblGrid>
      <w:tr w:rsidR="00F95710" w:rsidTr="00F95710">
        <w:trPr>
          <w:jc w:val="center"/>
        </w:trPr>
        <w:tc>
          <w:tcPr>
            <w:tcW w:w="2437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709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3.75</w:t>
            </w:r>
          </w:p>
        </w:tc>
        <w:tc>
          <w:tcPr>
            <w:tcW w:w="727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7.5</w:t>
            </w:r>
          </w:p>
        </w:tc>
        <w:tc>
          <w:tcPr>
            <w:tcW w:w="727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727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30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72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60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872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120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872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240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872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480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1072" w:type="dxa"/>
            <w:shd w:val="clear" w:color="auto" w:fill="E7E6E6" w:themeFill="background2"/>
          </w:tcPr>
          <w:p w:rsidR="00F95710" w:rsidRPr="005E7DA8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5E7DA8">
              <w:rPr>
                <w:rFonts w:ascii="Times New Roman" w:hAnsi="Times New Roman"/>
                <w:b/>
                <w:sz w:val="20"/>
                <w:lang w:val="en-GB"/>
              </w:rPr>
              <w:t>960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</w:tr>
      <w:tr w:rsidR="00F95710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Slot duration [symbols, NCP]</w:t>
            </w:r>
          </w:p>
        </w:tc>
        <w:tc>
          <w:tcPr>
            <w:tcW w:w="709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  <w:tc>
          <w:tcPr>
            <w:tcW w:w="1072" w:type="dxa"/>
            <w:shd w:val="clear" w:color="auto" w:fill="auto"/>
          </w:tcPr>
          <w:p w:rsidR="00F95710" w:rsidRPr="005E7DA8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5E7DA8"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</w:tr>
      <w:tr w:rsidR="00F95710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Slot duration [ms]</w:t>
            </w:r>
          </w:p>
        </w:tc>
        <w:tc>
          <w:tcPr>
            <w:tcW w:w="709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F95710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7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0.0625</w:t>
            </w:r>
          </w:p>
        </w:tc>
        <w:tc>
          <w:tcPr>
            <w:tcW w:w="872" w:type="dxa"/>
            <w:shd w:val="clear" w:color="auto" w:fill="auto"/>
          </w:tcPr>
          <w:p w:rsidR="00F95710" w:rsidRPr="00F708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sz w:val="18"/>
                <w:szCs w:val="18"/>
                <w:lang w:val="en-GB"/>
              </w:rPr>
              <w:t>0.03125</w:t>
            </w:r>
          </w:p>
        </w:tc>
        <w:tc>
          <w:tcPr>
            <w:tcW w:w="1072" w:type="dxa"/>
            <w:shd w:val="clear" w:color="auto" w:fill="auto"/>
          </w:tcPr>
          <w:p w:rsidR="00F95710" w:rsidRPr="00F708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sz w:val="18"/>
                <w:szCs w:val="18"/>
                <w:lang w:val="en-GB"/>
              </w:rPr>
              <w:t>0.015625</w:t>
            </w:r>
          </w:p>
        </w:tc>
      </w:tr>
      <w:tr w:rsidR="005E7DA8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‘TTI’ duration, SA=1</w:t>
            </w:r>
            <w:r w:rsidR="00F708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9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2</w:t>
            </w:r>
          </w:p>
        </w:tc>
        <w:tc>
          <w:tcPr>
            <w:tcW w:w="727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1</w:t>
            </w:r>
          </w:p>
        </w:tc>
        <w:tc>
          <w:tcPr>
            <w:tcW w:w="727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0.5</w:t>
            </w:r>
          </w:p>
        </w:tc>
        <w:tc>
          <w:tcPr>
            <w:tcW w:w="727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0.25</w:t>
            </w:r>
          </w:p>
        </w:tc>
        <w:tc>
          <w:tcPr>
            <w:tcW w:w="772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0.0625</w:t>
            </w:r>
          </w:p>
        </w:tc>
        <w:tc>
          <w:tcPr>
            <w:tcW w:w="8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0.03125</w:t>
            </w:r>
          </w:p>
        </w:tc>
        <w:tc>
          <w:tcPr>
            <w:tcW w:w="10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0.015625</w:t>
            </w:r>
          </w:p>
        </w:tc>
      </w:tr>
      <w:tr w:rsidR="005E7DA8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‘TTI’ duration, SA=2</w:t>
            </w:r>
            <w:r w:rsidR="00F708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9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7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8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872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0.0625</w:t>
            </w:r>
          </w:p>
        </w:tc>
        <w:tc>
          <w:tcPr>
            <w:tcW w:w="10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0.03125</w:t>
            </w:r>
          </w:p>
        </w:tc>
      </w:tr>
      <w:tr w:rsidR="005E7DA8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‘TTI’ duration, SA=4</w:t>
            </w:r>
            <w:r w:rsidR="00F708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9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8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8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8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872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10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0.0625</w:t>
            </w:r>
          </w:p>
        </w:tc>
      </w:tr>
      <w:tr w:rsidR="005E7DA8" w:rsidTr="005E7DA8">
        <w:trPr>
          <w:jc w:val="cente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‘TTI’ duration, SA=8</w:t>
            </w:r>
            <w:r w:rsidR="00F708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</w:tr>
    </w:tbl>
    <w:p w:rsidR="008539CE" w:rsidRDefault="009D377F" w:rsidP="00F95710">
      <w:pPr>
        <w:rPr>
          <w:lang w:val="en-US" w:eastAsia="ja-JP"/>
        </w:rPr>
      </w:pPr>
      <w:r>
        <w:rPr>
          <w:lang w:val="en-US" w:eastAsia="ja-JP"/>
        </w:rPr>
        <w:t>SA – Slot Aggregation</w:t>
      </w:r>
      <w:r w:rsidR="00D23DAC">
        <w:rPr>
          <w:lang w:val="en-US" w:eastAsia="ja-JP"/>
        </w:rPr>
        <w:br/>
      </w:r>
      <w:r w:rsidR="009115CC">
        <w:rPr>
          <w:lang w:val="en-US" w:eastAsia="ja-JP"/>
        </w:rPr>
        <w:t>*slot and ‘TTI’ durations of 0.25 ms and below are nominal values, slight variance to the nominal exists due to accommodation of the longer CP</w:t>
      </w:r>
    </w:p>
    <w:p w:rsidR="0047684F" w:rsidRDefault="000373A4" w:rsidP="0079374D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4F4F81D4" wp14:editId="38347A5B">
            <wp:extent cx="3124800" cy="1119600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00" cy="111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3DAC" w:rsidRDefault="0047684F" w:rsidP="0079374D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9374D">
        <w:rPr>
          <w:lang w:val="en-US"/>
        </w:rPr>
        <w:t xml:space="preserve">: </w:t>
      </w:r>
      <w:r w:rsidR="000373A4">
        <w:rPr>
          <w:lang w:val="en-US"/>
        </w:rPr>
        <w:t>Example of S</w:t>
      </w:r>
      <w:r w:rsidR="000373A4" w:rsidRPr="000373A4">
        <w:rPr>
          <w:lang w:val="en-US"/>
        </w:rPr>
        <w:t>lot Aggregation</w:t>
      </w:r>
      <w:r w:rsidRPr="0079374D">
        <w:rPr>
          <w:lang w:val="en-US"/>
        </w:rPr>
        <w:t xml:space="preserve"> </w:t>
      </w:r>
      <w:r w:rsidR="000373A4">
        <w:rPr>
          <w:lang w:val="en-US"/>
        </w:rPr>
        <w:t xml:space="preserve">of </w:t>
      </w:r>
      <w:r w:rsidRPr="0079374D">
        <w:rPr>
          <w:lang w:val="en-US"/>
        </w:rPr>
        <w:t>1 and 2 slots with 15 kHz SCS</w:t>
      </w:r>
      <w:r w:rsidR="009115CC">
        <w:rPr>
          <w:lang w:val="en-US"/>
        </w:rPr>
        <w:t xml:space="preserve"> for a bi-directional DL data structure</w:t>
      </w:r>
      <w:r w:rsidR="009E288B">
        <w:rPr>
          <w:lang w:val="en-US"/>
        </w:rPr>
        <w:t xml:space="preserve"> (RS not shown</w:t>
      </w:r>
      <w:r w:rsidR="009115CC">
        <w:rPr>
          <w:lang w:val="en-US"/>
        </w:rPr>
        <w:t>)</w:t>
      </w:r>
    </w:p>
    <w:p w:rsidR="0047684F" w:rsidRPr="0079374D" w:rsidRDefault="0047684F">
      <w:pPr>
        <w:rPr>
          <w:lang w:val="en-US" w:eastAsia="x-none"/>
        </w:rPr>
      </w:pPr>
    </w:p>
    <w:p w:rsidR="0047684F" w:rsidRDefault="000373A4" w:rsidP="0079374D">
      <w:pPr>
        <w:keepNext/>
      </w:pPr>
      <w:r>
        <w:rPr>
          <w:noProof/>
          <w:lang w:val="en-US"/>
        </w:rPr>
        <w:drawing>
          <wp:inline distT="0" distB="0" distL="0" distR="0" wp14:anchorId="5046D4D1" wp14:editId="485F3502">
            <wp:extent cx="5745600" cy="110880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60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684F" w:rsidRPr="0079374D" w:rsidRDefault="0047684F" w:rsidP="0079374D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79374D">
        <w:rPr>
          <w:lang w:val="en-US"/>
        </w:rPr>
        <w:t>:</w:t>
      </w:r>
      <w:r w:rsidR="000373A4">
        <w:rPr>
          <w:lang w:val="en-US"/>
        </w:rPr>
        <w:t xml:space="preserve">Example of </w:t>
      </w:r>
      <w:r w:rsidRPr="0079374D">
        <w:rPr>
          <w:lang w:val="en-US"/>
        </w:rPr>
        <w:t>Slot Aggregation of 1 and 2 slots with 120 kHz SCS</w:t>
      </w:r>
      <w:r w:rsidR="009115CC">
        <w:rPr>
          <w:lang w:val="en-US"/>
        </w:rPr>
        <w:t xml:space="preserve"> for a bi-directional DL</w:t>
      </w:r>
      <w:r w:rsidR="000373A4">
        <w:rPr>
          <w:lang w:val="en-US"/>
        </w:rPr>
        <w:t xml:space="preserve"> data structure (RS </w:t>
      </w:r>
      <w:r w:rsidR="009E288B">
        <w:rPr>
          <w:lang w:val="en-US"/>
        </w:rPr>
        <w:t>not shown</w:t>
      </w:r>
      <w:r w:rsidR="009115CC">
        <w:rPr>
          <w:lang w:val="en-US"/>
        </w:rPr>
        <w:t>)</w:t>
      </w:r>
    </w:p>
    <w:p w:rsidR="00D13DEF" w:rsidRDefault="00D13DEF">
      <w:pPr>
        <w:rPr>
          <w:lang w:val="en-US" w:eastAsia="x-none"/>
        </w:rPr>
      </w:pPr>
    </w:p>
    <w:p w:rsidR="00D13DEF" w:rsidRPr="0079374D" w:rsidRDefault="00D13DEF">
      <w:pPr>
        <w:rPr>
          <w:lang w:val="en-US" w:eastAsia="x-none"/>
        </w:rPr>
      </w:pPr>
    </w:p>
    <w:p w:rsidR="0034111C" w:rsidRPr="00A51522" w:rsidRDefault="00530FB4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:rsidR="0080329D" w:rsidRDefault="008539CE" w:rsidP="00EE281A">
      <w:pPr>
        <w:spacing w:after="120"/>
        <w:jc w:val="both"/>
      </w:pPr>
      <w:r>
        <w:t xml:space="preserve">In this contribution the following proposals </w:t>
      </w:r>
      <w:r w:rsidR="00E97E53">
        <w:t xml:space="preserve">with regard to slot and slot aggregation definitions </w:t>
      </w:r>
      <w:r>
        <w:t>are made:</w:t>
      </w:r>
    </w:p>
    <w:p w:rsidR="008539CE" w:rsidRDefault="008539CE" w:rsidP="00EE281A">
      <w:pPr>
        <w:spacing w:after="120"/>
        <w:jc w:val="both"/>
      </w:pPr>
      <w:r>
        <w:rPr>
          <w:b/>
        </w:rPr>
        <w:t xml:space="preserve">Proposal 1: </w:t>
      </w:r>
      <w:r>
        <w:t>The slot duration for sub-carrier spacing of 60 kHz and below is always 7 symbols, longer transmission durations are achieved with slot aggregation</w:t>
      </w:r>
    </w:p>
    <w:p w:rsidR="00277743" w:rsidRDefault="00277743" w:rsidP="00EE281A">
      <w:pPr>
        <w:spacing w:after="120"/>
        <w:jc w:val="both"/>
        <w:rPr>
          <w:b/>
        </w:rPr>
      </w:pPr>
      <w:r>
        <w:rPr>
          <w:b/>
        </w:rPr>
        <w:t>Proposal 2</w:t>
      </w:r>
      <w:r>
        <w:rPr>
          <w:b/>
        </w:rPr>
        <w:t>:</w:t>
      </w:r>
      <w:r>
        <w:t xml:space="preserve"> In TDD operation, there is at most one DL/UL switch within a slot-aggregate (a ‘TTI’)</w:t>
      </w:r>
    </w:p>
    <w:p w:rsidR="00D23DAC" w:rsidRDefault="00277743" w:rsidP="00EE281A">
      <w:pPr>
        <w:spacing w:after="120"/>
        <w:jc w:val="both"/>
      </w:pPr>
      <w:r>
        <w:rPr>
          <w:b/>
        </w:rPr>
        <w:t>Proposal 3</w:t>
      </w:r>
      <w:r w:rsidR="008539CE">
        <w:rPr>
          <w:b/>
        </w:rPr>
        <w:t>:</w:t>
      </w:r>
      <w:r w:rsidR="008539CE">
        <w:t xml:space="preserve"> A minimum slot aggregation </w:t>
      </w:r>
      <w:r>
        <w:t xml:space="preserve">of 2 or larger </w:t>
      </w:r>
      <w:r w:rsidR="008539CE">
        <w:t>is applie</w:t>
      </w:r>
      <w:r>
        <w:t>d for sub-carrier spacings 24</w:t>
      </w:r>
      <w:r w:rsidR="008539CE">
        <w:t xml:space="preserve">0 kHz </w:t>
      </w:r>
      <w:r>
        <w:t xml:space="preserve">and above, if adopted, </w:t>
      </w:r>
      <w:r w:rsidR="008539CE">
        <w:t xml:space="preserve">so that the minimum transmission duration </w:t>
      </w:r>
      <w:r>
        <w:t xml:space="preserve">(a </w:t>
      </w:r>
      <w:r w:rsidR="008539CE">
        <w:t>‘TTI’</w:t>
      </w:r>
      <w:r>
        <w:t>) and a DL/UL switching rate</w:t>
      </w:r>
      <w:r w:rsidR="008539CE">
        <w:t xml:space="preserve"> of 0.125 ms is always kept.</w:t>
      </w:r>
    </w:p>
    <w:p w:rsidR="00277743" w:rsidRDefault="00277743" w:rsidP="00EE281A">
      <w:pPr>
        <w:spacing w:after="120"/>
        <w:jc w:val="both"/>
      </w:pPr>
      <w:r>
        <w:t xml:space="preserve">It is further noted, that the introduction of mini-slot may bring additional requirements to DL/UL switching and will have a shorter transmission duration at, where applicable, and the proposals above are specifically </w:t>
      </w:r>
      <w:bookmarkStart w:id="0" w:name="_GoBack"/>
      <w:bookmarkEnd w:id="0"/>
      <w:r>
        <w:t>in relation to the definition of slot and slot aggregation only.</w:t>
      </w:r>
    </w:p>
    <w:p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>bis</w:t>
      </w:r>
      <w:r w:rsidR="00EE281A">
        <w:rPr>
          <w:sz w:val="18"/>
        </w:rPr>
        <w:t>, 3GPP MCC</w:t>
      </w:r>
      <w:r w:rsidRPr="004C3EC7">
        <w:rPr>
          <w:sz w:val="18"/>
        </w:rPr>
        <w:t>.</w:t>
      </w:r>
    </w:p>
    <w:p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5FF" w:rsidRDefault="009265FF">
      <w:r>
        <w:separator/>
      </w:r>
    </w:p>
  </w:endnote>
  <w:endnote w:type="continuationSeparator" w:id="0">
    <w:p w:rsidR="009265FF" w:rsidRDefault="0092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5FF" w:rsidRDefault="009265FF">
      <w:r>
        <w:separator/>
      </w:r>
    </w:p>
  </w:footnote>
  <w:footnote w:type="continuationSeparator" w:id="0">
    <w:p w:rsidR="009265FF" w:rsidRDefault="00926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3A4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6FD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675C8"/>
    <w:rsid w:val="00271589"/>
    <w:rsid w:val="00273177"/>
    <w:rsid w:val="00275074"/>
    <w:rsid w:val="002763E9"/>
    <w:rsid w:val="00276736"/>
    <w:rsid w:val="00277743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123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5A9"/>
    <w:rsid w:val="00474871"/>
    <w:rsid w:val="00474CA8"/>
    <w:rsid w:val="00474E43"/>
    <w:rsid w:val="0047684F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7DA8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D75A9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923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374D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2845"/>
    <w:rsid w:val="007F43BC"/>
    <w:rsid w:val="007F4740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2FE6"/>
    <w:rsid w:val="00843A7A"/>
    <w:rsid w:val="008447F5"/>
    <w:rsid w:val="008462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5C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5FF"/>
    <w:rsid w:val="00926F61"/>
    <w:rsid w:val="00926FA9"/>
    <w:rsid w:val="009273DB"/>
    <w:rsid w:val="00927A50"/>
    <w:rsid w:val="0093123D"/>
    <w:rsid w:val="00933040"/>
    <w:rsid w:val="009330E9"/>
    <w:rsid w:val="00935D15"/>
    <w:rsid w:val="0094053A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77F"/>
    <w:rsid w:val="009D3A5F"/>
    <w:rsid w:val="009D5193"/>
    <w:rsid w:val="009D5C32"/>
    <w:rsid w:val="009D6472"/>
    <w:rsid w:val="009D79F4"/>
    <w:rsid w:val="009E288B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51AD"/>
    <w:rsid w:val="00AA591E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1AB8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4BBC"/>
    <w:rsid w:val="00BC58B9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0060"/>
    <w:rsid w:val="00C12E39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3DEF"/>
    <w:rsid w:val="00D14487"/>
    <w:rsid w:val="00D15E7E"/>
    <w:rsid w:val="00D20016"/>
    <w:rsid w:val="00D207A7"/>
    <w:rsid w:val="00D2279F"/>
    <w:rsid w:val="00D22AF1"/>
    <w:rsid w:val="00D22E93"/>
    <w:rsid w:val="00D23DAC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4B05"/>
    <w:rsid w:val="00DE541C"/>
    <w:rsid w:val="00DE6087"/>
    <w:rsid w:val="00DE737B"/>
    <w:rsid w:val="00DF100B"/>
    <w:rsid w:val="00DF4359"/>
    <w:rsid w:val="00DF73C1"/>
    <w:rsid w:val="00DF7751"/>
    <w:rsid w:val="00E009B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1660B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97E53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81A"/>
    <w:rsid w:val="00EE2A61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0841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710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6238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4CC8C4-0B09-4D87-BB24-4B767C89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298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9</cp:revision>
  <cp:lastPrinted>2016-06-20T11:35:00Z</cp:lastPrinted>
  <dcterms:created xsi:type="dcterms:W3CDTF">2016-11-02T12:15:00Z</dcterms:created>
  <dcterms:modified xsi:type="dcterms:W3CDTF">2016-11-03T20:33:00Z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